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20.0" w:type="dxa"/>
        <w:tblLayout w:type="fixed"/>
        <w:tblLook w:val="0400"/>
      </w:tblPr>
      <w:tblGrid>
        <w:gridCol w:w="1485"/>
        <w:gridCol w:w="975"/>
        <w:gridCol w:w="1725"/>
        <w:gridCol w:w="1635"/>
        <w:gridCol w:w="1725"/>
        <w:gridCol w:w="1695"/>
        <w:tblGridChange w:id="0">
          <w:tblGrid>
            <w:gridCol w:w="1485"/>
            <w:gridCol w:w="975"/>
            <w:gridCol w:w="1725"/>
            <w:gridCol w:w="1635"/>
            <w:gridCol w:w="1725"/>
            <w:gridCol w:w="1695"/>
          </w:tblGrid>
        </w:tblGridChange>
      </w:tblGrid>
      <w:tr>
        <w:trPr>
          <w:trHeight w:val="2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Control - Document Revision &amp; Approval History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Prepared 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Reviewed 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 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after="160" w:line="259" w:lineRule="auto"/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5"/>
        <w:gridCol w:w="8190"/>
        <w:tblGridChange w:id="0">
          <w:tblGrid>
            <w:gridCol w:w="1435"/>
            <w:gridCol w:w="8190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purpose of this procedure is to provide detailed instructions for separation of Myclobutanil from First Pass Distillate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-115.0" w:type="dxa"/>
        <w:tblLayout w:type="fixed"/>
        <w:tblLook w:val="0400"/>
      </w:tblPr>
      <w:tblGrid>
        <w:gridCol w:w="1575"/>
        <w:gridCol w:w="1410"/>
        <w:gridCol w:w="6630"/>
        <w:tblGridChange w:id="0">
          <w:tblGrid>
            <w:gridCol w:w="1575"/>
            <w:gridCol w:w="1410"/>
            <w:gridCol w:w="6630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Definitions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Definition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Protection Equipment (PPE) </w:t>
            </w:r>
            <w:r w:rsidDel="00000000" w:rsidR="00000000" w:rsidRPr="00000000">
              <w:rPr>
                <w:rtl w:val="0"/>
              </w:rPr>
              <w:t xml:space="preserve">Items worn to protect employees from exposure to hazardous materials and prevention of injury.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Safety Data Sheet (SDS) </w:t>
            </w:r>
            <w:r w:rsidDel="00000000" w:rsidR="00000000" w:rsidRPr="00000000">
              <w:rPr>
                <w:highlight w:val="white"/>
                <w:rtl w:val="0"/>
              </w:rPr>
              <w:t xml:space="preserve">Provides useful information on chemicals, describing the hazards the chemical presents, and giving information on handling, storage and emergency measures in case of an accident.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Liquid-Liquid Extraction (LLE)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is a method to separate compounds based on their relative</w:t>
            </w:r>
            <w:hyperlink r:id="rId6">
              <w:r w:rsidDel="00000000" w:rsidR="00000000" w:rsidRPr="00000000">
                <w:rPr>
                  <w:color w:val="222222"/>
                  <w:highlight w:val="whit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solubilities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in two different immiscible liquids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Solid Phase Extraction (SPE)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sample preparation process by which compounds that are dissolved or suspended in a liquid mixture are separated from other compounds in the mixture according to their physical and chemical properties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Saline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Distilled water mixed with 3-5% Sodium Chloride (Table Salt)</w:t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after="160" w:line="240" w:lineRule="auto"/>
        <w:contextualSpacing w:val="0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5.0" w:type="dxa"/>
        <w:jc w:val="left"/>
        <w:tblInd w:w="-115.0" w:type="dxa"/>
        <w:tblLayout w:type="fixed"/>
        <w:tblLook w:val="0400"/>
      </w:tblPr>
      <w:tblGrid>
        <w:gridCol w:w="1620"/>
        <w:gridCol w:w="2505"/>
        <w:gridCol w:w="5490"/>
        <w:tblGridChange w:id="0">
          <w:tblGrid>
            <w:gridCol w:w="1620"/>
            <w:gridCol w:w="2505"/>
            <w:gridCol w:w="549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References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Document Number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Document Title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after="160" w:line="259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160" w:line="259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Safety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SDS Sheets: Available in the laboratory on all chemicals used in this process.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PPE: The following should be worn by all lab personnel while Remediating Pesticides: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2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Splash goggle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2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Lab coat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2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Gloves</w:t>
      </w:r>
    </w:p>
    <w:p w:rsidR="00000000" w:rsidDel="00000000" w:rsidP="00000000" w:rsidRDefault="00000000" w:rsidRPr="00000000" w14:paraId="00000053">
      <w:pPr>
        <w:widowControl w:val="0"/>
        <w:spacing w:after="160" w:line="259" w:lineRule="auto"/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Hazard Identification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Preparation and Use: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Distilled cannabis oil will be mixed with Heptane, washed with pH adjusted saline, mixed with CBleach, then passed over a MagSil-PR column. 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Concentration</w:t>
      </w:r>
      <w:r w:rsidDel="00000000" w:rsidR="00000000" w:rsidRPr="00000000">
        <w:rPr>
          <w:rtl w:val="0"/>
        </w:rPr>
        <w:t xml:space="preserve">- Use full concentration of:</w:t>
      </w:r>
    </w:p>
    <w:p w:rsidR="00000000" w:rsidDel="00000000" w:rsidP="00000000" w:rsidRDefault="00000000" w:rsidRPr="00000000" w14:paraId="00000057">
      <w:pPr>
        <w:widowControl w:val="0"/>
        <w:spacing w:after="0" w:before="0" w:line="259" w:lineRule="auto"/>
        <w:ind w:left="4320" w:firstLine="0"/>
        <w:contextualSpacing w:val="0"/>
        <w:rPr/>
      </w:pPr>
      <w:r w:rsidDel="00000000" w:rsidR="00000000" w:rsidRPr="00000000">
        <w:rPr>
          <w:rtl w:val="0"/>
        </w:rPr>
        <w:t xml:space="preserve">Heptane (</w:t>
      </w:r>
      <w:r w:rsidDel="00000000" w:rsidR="00000000" w:rsidRPr="00000000">
        <w:rPr>
          <w:highlight w:val="yellow"/>
          <w:rtl w:val="0"/>
        </w:rPr>
        <w:t xml:space="preserve">Insert product name and purchase location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58">
      <w:pPr>
        <w:widowControl w:val="0"/>
        <w:spacing w:after="0" w:before="0" w:line="259" w:lineRule="auto"/>
        <w:ind w:left="4320" w:firstLine="0"/>
        <w:contextualSpacing w:val="0"/>
        <w:rPr/>
      </w:pPr>
      <w:r w:rsidDel="00000000" w:rsidR="00000000" w:rsidRPr="00000000">
        <w:rPr>
          <w:rtl w:val="0"/>
        </w:rPr>
        <w:t xml:space="preserve">Isopropanol (</w:t>
      </w:r>
      <w:r w:rsidDel="00000000" w:rsidR="00000000" w:rsidRPr="00000000">
        <w:rPr>
          <w:highlight w:val="yellow"/>
          <w:rtl w:val="0"/>
        </w:rPr>
        <w:t xml:space="preserve">Insert product name and purchase location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9">
      <w:pPr>
        <w:widowControl w:val="0"/>
        <w:spacing w:after="0" w:before="0" w:line="259" w:lineRule="auto"/>
        <w:ind w:left="4320" w:firstLine="0"/>
        <w:contextualSpacing w:val="0"/>
        <w:rPr/>
      </w:pPr>
      <w:r w:rsidDel="00000000" w:rsidR="00000000" w:rsidRPr="00000000">
        <w:rPr>
          <w:rtl w:val="0"/>
        </w:rPr>
        <w:t xml:space="preserve">MagSil-PR (</w:t>
      </w:r>
      <w:r w:rsidDel="00000000" w:rsidR="00000000" w:rsidRPr="00000000">
        <w:rPr>
          <w:highlight w:val="yellow"/>
          <w:rtl w:val="0"/>
        </w:rPr>
        <w:t xml:space="preserve">Purchase location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A">
      <w:pPr>
        <w:widowControl w:val="0"/>
        <w:spacing w:after="0" w:before="0" w:line="259" w:lineRule="auto"/>
        <w:ind w:left="4320" w:firstLine="0"/>
        <w:contextualSpacing w:val="0"/>
        <w:rPr/>
      </w:pPr>
      <w:r w:rsidDel="00000000" w:rsidR="00000000" w:rsidRPr="00000000">
        <w:rPr>
          <w:rtl w:val="0"/>
        </w:rPr>
        <w:t xml:space="preserve">CBleach (</w:t>
      </w:r>
      <w:r w:rsidDel="00000000" w:rsidR="00000000" w:rsidRPr="00000000">
        <w:rPr>
          <w:highlight w:val="yellow"/>
          <w:rtl w:val="0"/>
        </w:rPr>
        <w:t xml:space="preserve">Purchase location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Quantity</w:t>
      </w:r>
      <w:r w:rsidDel="00000000" w:rsidR="00000000" w:rsidRPr="00000000">
        <w:rPr>
          <w:rtl w:val="0"/>
        </w:rPr>
        <w:t xml:space="preserve">- 2 parts Heptane to 1 part Distilled Cannabis Oil</w:t>
      </w:r>
    </w:p>
    <w:p w:rsidR="00000000" w:rsidDel="00000000" w:rsidP="00000000" w:rsidRDefault="00000000" w:rsidRPr="00000000" w14:paraId="0000005C">
      <w:pPr>
        <w:widowControl w:val="0"/>
        <w:spacing w:after="0" w:before="0" w:line="259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 1 part Heptane to 1 part MagSil-PR</w:t>
      </w:r>
    </w:p>
    <w:p w:rsidR="00000000" w:rsidDel="00000000" w:rsidP="00000000" w:rsidRDefault="00000000" w:rsidRPr="00000000" w14:paraId="0000005D">
      <w:pPr>
        <w:widowControl w:val="0"/>
        <w:spacing w:after="0" w:before="0" w:line="259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 CBleach according to directions </w:t>
      </w:r>
    </w:p>
    <w:p w:rsidR="00000000" w:rsidDel="00000000" w:rsidP="00000000" w:rsidRDefault="00000000" w:rsidRPr="00000000" w14:paraId="0000005E">
      <w:pPr>
        <w:widowControl w:val="0"/>
        <w:spacing w:after="0" w:before="0" w:line="259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 2 parts MagSil-PR to 1 part Distilled Cannabis Oil</w:t>
      </w:r>
    </w:p>
    <w:p w:rsidR="00000000" w:rsidDel="00000000" w:rsidP="00000000" w:rsidRDefault="00000000" w:rsidRPr="00000000" w14:paraId="0000005F">
      <w:pPr>
        <w:widowControl w:val="0"/>
        <w:spacing w:after="0" w:before="0" w:line="259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 1 part Isopropanol to 1 part MagSil-PR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1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Frequency</w:t>
      </w:r>
      <w:r w:rsidDel="00000000" w:rsidR="00000000" w:rsidRPr="00000000">
        <w:rPr>
          <w:rtl w:val="0"/>
        </w:rPr>
        <w:t xml:space="preserve">- An initial volume of distilled oil is used. An initial volume of Heptane is used, more is added to flush the column. Isopropanol is used to flush the column.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1"/>
        </w:numPr>
        <w:spacing w:after="0" w:before="0" w:line="259" w:lineRule="auto"/>
        <w:ind w:left="216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- LLE occurs in a jacketed conical bottom reactor or a separatory funnel. SPE occurs in the chromatography column. Both should be situated under a fume hood or in an explosion proof environment. </w:t>
      </w:r>
    </w:p>
    <w:p w:rsidR="00000000" w:rsidDel="00000000" w:rsidP="00000000" w:rsidRDefault="00000000" w:rsidRPr="00000000" w14:paraId="00000062">
      <w:pPr>
        <w:widowControl w:val="0"/>
        <w:spacing w:after="0" w:before="0" w:line="259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Potential Hazards and Risks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See Heptane and Isopropanol SDS for detailed risks.</w:t>
      </w:r>
    </w:p>
    <w:p w:rsidR="00000000" w:rsidDel="00000000" w:rsidP="00000000" w:rsidRDefault="00000000" w:rsidRPr="00000000" w14:paraId="00000065">
      <w:pPr>
        <w:widowControl w:val="0"/>
        <w:spacing w:after="0" w:before="0" w:line="259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160" w:line="259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Procedure</w:t>
      </w:r>
    </w:p>
    <w:p w:rsidR="00000000" w:rsidDel="00000000" w:rsidP="00000000" w:rsidRDefault="00000000" w:rsidRPr="00000000" w14:paraId="00000067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1. Dissolve first pass distillate in Heptane (2:1, Heptane:Distillate)</w:t>
      </w:r>
    </w:p>
    <w:p w:rsidR="00000000" w:rsidDel="00000000" w:rsidP="00000000" w:rsidRDefault="00000000" w:rsidRPr="00000000" w14:paraId="00000068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2. Add solution to reactor</w:t>
      </w:r>
    </w:p>
    <w:p w:rsidR="00000000" w:rsidDel="00000000" w:rsidP="00000000" w:rsidRDefault="00000000" w:rsidRPr="00000000" w14:paraId="00000069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3. Prepare 60 parts </w:t>
      </w:r>
      <w:r w:rsidDel="00000000" w:rsidR="00000000" w:rsidRPr="00000000">
        <w:rPr>
          <w:b w:val="1"/>
          <w:rtl w:val="0"/>
        </w:rPr>
        <w:t xml:space="preserve">saline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4. Separate saline into 3 equal volumes</w:t>
      </w:r>
    </w:p>
    <w:p w:rsidR="00000000" w:rsidDel="00000000" w:rsidP="00000000" w:rsidRDefault="00000000" w:rsidRPr="00000000" w14:paraId="0000006B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5. Use citric acid to bring the pH of one volume of saline to pH 4</w:t>
      </w:r>
    </w:p>
    <w:p w:rsidR="00000000" w:rsidDel="00000000" w:rsidP="00000000" w:rsidRDefault="00000000" w:rsidRPr="00000000" w14:paraId="0000006C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6. Use sodium bicarbonate to bring the pH of one volume of saline to pH 8</w:t>
      </w:r>
    </w:p>
    <w:p w:rsidR="00000000" w:rsidDel="00000000" w:rsidP="00000000" w:rsidRDefault="00000000" w:rsidRPr="00000000" w14:paraId="0000006D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7. Add pH 4 saline to reactor</w:t>
      </w:r>
    </w:p>
    <w:p w:rsidR="00000000" w:rsidDel="00000000" w:rsidP="00000000" w:rsidRDefault="00000000" w:rsidRPr="00000000" w14:paraId="0000006E">
      <w:pPr>
        <w:widowControl w:val="0"/>
        <w:spacing w:after="0" w:line="36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8. Mix for 10 minutes (</w:t>
      </w:r>
      <w:r w:rsidDel="00000000" w:rsidR="00000000" w:rsidRPr="00000000">
        <w:rPr>
          <w:b w:val="1"/>
          <w:rtl w:val="0"/>
        </w:rPr>
        <w:t xml:space="preserve">LLE)</w:t>
      </w:r>
    </w:p>
    <w:p w:rsidR="00000000" w:rsidDel="00000000" w:rsidP="00000000" w:rsidRDefault="00000000" w:rsidRPr="00000000" w14:paraId="0000006F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9. Drain saline</w:t>
      </w:r>
    </w:p>
    <w:p w:rsidR="00000000" w:rsidDel="00000000" w:rsidP="00000000" w:rsidRDefault="00000000" w:rsidRPr="00000000" w14:paraId="00000070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10. Repeat steps 7-9 with pH 8 saline</w:t>
      </w:r>
    </w:p>
    <w:p w:rsidR="00000000" w:rsidDel="00000000" w:rsidP="00000000" w:rsidRDefault="00000000" w:rsidRPr="00000000" w14:paraId="00000071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11. Repeat steps 7-9 with remaining neutral pH saline</w:t>
      </w:r>
    </w:p>
    <w:p w:rsidR="00000000" w:rsidDel="00000000" w:rsidP="00000000" w:rsidRDefault="00000000" w:rsidRPr="00000000" w14:paraId="00000072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12. Add CBleach per label instructions, to the solution in reactor, mix per label instructions</w:t>
      </w:r>
    </w:p>
    <w:p w:rsidR="00000000" w:rsidDel="00000000" w:rsidP="00000000" w:rsidRDefault="00000000" w:rsidRPr="00000000" w14:paraId="00000073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13. Wet load MagSil in chromatography column</w:t>
      </w:r>
    </w:p>
    <w:p w:rsidR="00000000" w:rsidDel="00000000" w:rsidP="00000000" w:rsidRDefault="00000000" w:rsidRPr="00000000" w14:paraId="00000074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14. Drain solution from reactor to top of column, collect all fractions together  (</w:t>
      </w:r>
      <w:r w:rsidDel="00000000" w:rsidR="00000000" w:rsidRPr="00000000">
        <w:rPr>
          <w:b w:val="1"/>
          <w:rtl w:val="0"/>
        </w:rPr>
        <w:t xml:space="preserve">SPE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5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15. Before column runs dry, flush volume of clean Heptane through column</w:t>
      </w:r>
    </w:p>
    <w:p w:rsidR="00000000" w:rsidDel="00000000" w:rsidP="00000000" w:rsidRDefault="00000000" w:rsidRPr="00000000" w14:paraId="00000076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16. Before column runs dry, swap collection vessel and flush volume of clean Isopropanol</w:t>
      </w:r>
    </w:p>
    <w:p w:rsidR="00000000" w:rsidDel="00000000" w:rsidP="00000000" w:rsidRDefault="00000000" w:rsidRPr="00000000" w14:paraId="00000077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17. Rotovap Heptane solution (See Solvent Recovery SOP)</w:t>
      </w:r>
    </w:p>
    <w:p w:rsidR="00000000" w:rsidDel="00000000" w:rsidP="00000000" w:rsidRDefault="00000000" w:rsidRPr="00000000" w14:paraId="00000078">
      <w:pPr>
        <w:widowControl w:val="0"/>
        <w:spacing w:after="0" w:line="36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18. Second pass SPD (See Second Pass SPD SOP)</w:t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ind w:left="0" w:firstLine="0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ind w:left="0" w:firstLine="0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Training</w:t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ind w:left="0" w:firstLine="0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personnel shall read and fully adhere to this SOP when Remediating Pesticides, and should be trained hands on with this extraction procedure.</w:t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“I have read and understand this SOP. I agree to fully adhere to its requirements”</w:t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ID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widowControl w:val="0"/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after="0" w:line="240" w:lineRule="auto"/>
        <w:ind w:left="720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after="0" w:line="240" w:lineRule="auto"/>
        <w:ind w:left="720" w:firstLine="36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Company Name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tabs>
        <w:tab w:val="center" w:pos="4680"/>
        <w:tab w:val="right" w:pos="9360"/>
      </w:tabs>
      <w:spacing w:line="24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6"/>
      <w:tblW w:w="9283.0" w:type="dxa"/>
      <w:jc w:val="left"/>
      <w:tblInd w:w="-5.0" w:type="dxa"/>
      <w:tblLayout w:type="fixed"/>
      <w:tblLook w:val="0400"/>
    </w:tblPr>
    <w:tblGrid>
      <w:gridCol w:w="1702"/>
      <w:gridCol w:w="5685"/>
      <w:gridCol w:w="1896"/>
      <w:tblGridChange w:id="0">
        <w:tblGrid>
          <w:gridCol w:w="1702"/>
          <w:gridCol w:w="5685"/>
          <w:gridCol w:w="1896"/>
        </w:tblGrid>
      </w:tblGridChange>
    </w:tblGrid>
    <w:tr>
      <w:trPr>
        <w:trHeight w:val="88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B7">
          <w:pPr>
            <w:spacing w:line="240" w:lineRule="auto"/>
            <w:contextualSpacing w:val="0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Document #     xxxx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8">
          <w:pPr>
            <w:spacing w:line="240" w:lineRule="auto"/>
            <w:contextualSpacing w:val="0"/>
            <w:jc w:val="center"/>
            <w:rPr>
              <w:rFonts w:ascii="Times New Roman" w:cs="Times New Roman" w:eastAsia="Times New Roman" w:hAnsi="Times New Roman"/>
              <w:b w:val="1"/>
              <w:sz w:val="36"/>
              <w:szCs w:val="3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rtl w:val="0"/>
            </w:rPr>
            <w:t xml:space="preserve">Pesticide Remediation</w:t>
          </w:r>
        </w:p>
        <w:p w:rsidR="00000000" w:rsidDel="00000000" w:rsidP="00000000" w:rsidRDefault="00000000" w:rsidRPr="00000000" w14:paraId="000000B9">
          <w:pPr>
            <w:spacing w:line="240" w:lineRule="auto"/>
            <w:contextualSpacing w:val="0"/>
            <w:jc w:val="center"/>
            <w:rPr>
              <w:rFonts w:ascii="Times New Roman" w:cs="Times New Roman" w:eastAsia="Times New Roman" w:hAnsi="Times New Roman"/>
              <w:b w:val="1"/>
              <w:sz w:val="36"/>
              <w:szCs w:val="3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36"/>
              <w:szCs w:val="36"/>
              <w:rtl w:val="0"/>
            </w:rPr>
            <w:t xml:space="preserve">(Myclobutanil Focus)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A">
          <w:pPr>
            <w:spacing w:line="240" w:lineRule="auto"/>
            <w:contextualSpacing w:val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Company Name/Logo</w:t>
          </w:r>
        </w:p>
      </w:tc>
    </w:tr>
    <w:tr>
      <w:trPr>
        <w:trHeight w:val="600" w:hRule="atLeast"/>
      </w:trPr>
      <w:tc>
        <w:tcPr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B">
          <w:pPr>
            <w:spacing w:line="240" w:lineRule="auto"/>
            <w:contextualSpacing w:val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Revision Date: 6/13/2018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C">
          <w:pPr>
            <w:spacing w:line="240" w:lineRule="auto"/>
            <w:contextualSpacing w:val="0"/>
            <w:jc w:val="lef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BD">
          <w:pPr>
            <w:spacing w:line="240" w:lineRule="auto"/>
            <w:contextualSpacing w:val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 Page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 of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E">
    <w:pPr>
      <w:tabs>
        <w:tab w:val="center" w:pos="4680"/>
        <w:tab w:val="right" w:pos="9360"/>
      </w:tabs>
      <w:spacing w:line="240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n.wikipedia.org/wiki/Solubility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